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Оценка об эффективности реализации принятых муниципальных программ сельским поселением </w:t>
      </w:r>
      <w:r>
        <w:rPr>
          <w:rFonts w:eastAsia="Calibri" w:cs="Times New Roman" w:ascii="Times New Roman" w:hAnsi="Times New Roman"/>
          <w:b/>
        </w:rPr>
        <w:t>Ягодное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 </w:t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Программа «Социально-экономическое развитие сельского поселения </w:t>
      </w:r>
      <w:r>
        <w:rPr>
          <w:rFonts w:eastAsia="Calibri" w:cs="Times New Roman" w:ascii="Times New Roman" w:hAnsi="Times New Roman"/>
          <w:b/>
        </w:rPr>
        <w:t>Ягодное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 на 202</w:t>
      </w:r>
      <w:r>
        <w:rPr>
          <w:rFonts w:eastAsia="Calibri" w:cs="Times New Roman" w:ascii="Times New Roman" w:hAnsi="Times New Roman"/>
          <w:b/>
        </w:rPr>
        <w:t>1</w:t>
      </w:r>
      <w:r>
        <w:rPr>
          <w:rFonts w:ascii="Times New Roman" w:hAnsi="Times New Roman"/>
          <w:b/>
        </w:rPr>
        <w:t>-202</w:t>
      </w:r>
      <w:r>
        <w:rPr>
          <w:rFonts w:eastAsia="Calibri" w:cs="Times New Roman" w:ascii="Times New Roman" w:hAnsi="Times New Roman"/>
          <w:b/>
        </w:rPr>
        <w:t>3</w:t>
      </w:r>
      <w:r>
        <w:rPr>
          <w:rFonts w:ascii="Times New Roman" w:hAnsi="Times New Roman"/>
          <w:b/>
        </w:rPr>
        <w:t xml:space="preserve"> годы» утверждена постановлением администрации сельского поселения Ягодное муниципального района Ставропольский Самарской области от 3</w:t>
      </w:r>
      <w:r>
        <w:rPr>
          <w:rFonts w:eastAsia="Calibri" w:cs="Times New Roman" w:ascii="Times New Roman" w:hAnsi="Times New Roman"/>
          <w:b/>
        </w:rPr>
        <w:t>0</w:t>
      </w:r>
      <w:r>
        <w:rPr>
          <w:rFonts w:ascii="Times New Roman" w:hAnsi="Times New Roman"/>
          <w:b/>
        </w:rPr>
        <w:t xml:space="preserve"> </w:t>
      </w:r>
      <w:r>
        <w:rPr>
          <w:rFonts w:eastAsia="Calibri" w:cs="Times New Roman" w:ascii="Times New Roman" w:hAnsi="Times New Roman"/>
          <w:b/>
        </w:rPr>
        <w:t>декабря</w:t>
      </w:r>
      <w:r>
        <w:rPr>
          <w:rFonts w:ascii="Times New Roman" w:hAnsi="Times New Roman"/>
          <w:b/>
        </w:rPr>
        <w:t xml:space="preserve"> 20</w:t>
      </w:r>
      <w:r>
        <w:rPr>
          <w:rFonts w:eastAsia="Calibri" w:cs="Times New Roman" w:ascii="Times New Roman" w:hAnsi="Times New Roman"/>
          <w:b/>
        </w:rPr>
        <w:t>20</w:t>
      </w:r>
      <w:r>
        <w:rPr>
          <w:rFonts w:ascii="Times New Roman" w:hAnsi="Times New Roman"/>
          <w:b/>
        </w:rPr>
        <w:t xml:space="preserve"> года № 5</w:t>
      </w:r>
      <w:r>
        <w:rPr>
          <w:rFonts w:eastAsia="Calibri" w:cs="Times New Roman" w:ascii="Times New Roman" w:hAnsi="Times New Roman"/>
          <w:b/>
        </w:rPr>
        <w:t>8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</w:t>
      </w:r>
    </w:p>
    <w:tbl>
      <w:tblPr>
        <w:tblW w:w="9472" w:type="dxa"/>
        <w:jc w:val="left"/>
        <w:tblInd w:w="-17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1" w:val="02a0"/>
      </w:tblPr>
      <w:tblGrid>
        <w:gridCol w:w="711"/>
        <w:gridCol w:w="2976"/>
        <w:gridCol w:w="993"/>
        <w:gridCol w:w="1568"/>
        <w:gridCol w:w="22"/>
        <w:gridCol w:w="1551"/>
        <w:gridCol w:w="1650"/>
      </w:tblGrid>
      <w:tr>
        <w:trPr>
          <w:trHeight w:val="450" w:hRule="atLeast"/>
        </w:trPr>
        <w:tc>
          <w:tcPr>
            <w:tcW w:w="7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№ </w:t>
            </w:r>
            <w:r>
              <w:rPr>
                <w:rFonts w:ascii="Times New Roman" w:hAnsi="Times New Roman"/>
              </w:rPr>
              <w:t>п/п</w:t>
            </w:r>
          </w:p>
        </w:tc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индикатора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Ед.</w:t>
            </w:r>
          </w:p>
          <w:p>
            <w:pPr>
              <w:pStyle w:val="Normal"/>
              <w:widowControl w:val="false"/>
              <w:spacing w:lineRule="auto" w:line="240" w:before="0" w:after="0"/>
              <w:ind w:left="-43" w:right="-108" w:firstLine="43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изм.</w:t>
            </w:r>
          </w:p>
        </w:tc>
        <w:tc>
          <w:tcPr>
            <w:tcW w:w="31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Значения целевых индикаторов</w:t>
            </w:r>
          </w:p>
        </w:tc>
        <w:tc>
          <w:tcPr>
            <w:tcW w:w="16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Степень достижения целевых индикаторов,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</w:rPr>
              <w:t>%</w:t>
            </w:r>
          </w:p>
        </w:tc>
      </w:tr>
      <w:tr>
        <w:trPr>
          <w:trHeight w:val="450" w:hRule="atLeast"/>
        </w:trPr>
        <w:tc>
          <w:tcPr>
            <w:tcW w:w="71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Плановые значения по Программе</w:t>
            </w:r>
          </w:p>
        </w:tc>
        <w:tc>
          <w:tcPr>
            <w:tcW w:w="15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Фактически достигнутые значения</w:t>
            </w:r>
          </w:p>
        </w:tc>
        <w:tc>
          <w:tcPr>
            <w:tcW w:w="165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</w:r>
          </w:p>
        </w:tc>
      </w:tr>
      <w:tr>
        <w:trPr/>
        <w:tc>
          <w:tcPr>
            <w:tcW w:w="9471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1 подпрограмма « Деятельность органов местного самоуправления сельского поселения Ягодное муниципального района Ставропольский Самарской области  на 202</w:t>
            </w:r>
            <w:r>
              <w:rPr>
                <w:rFonts w:eastAsia="Calibri" w:cs="Times New Roman"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-202</w:t>
            </w:r>
            <w:r>
              <w:rPr>
                <w:rFonts w:eastAsia="Calibri" w:cs="Times New Roman" w:ascii="Times New Roman" w:hAnsi="Times New Roman"/>
                <w:b/>
              </w:rPr>
              <w:t>3</w:t>
            </w:r>
            <w:r>
              <w:rPr>
                <w:rFonts w:ascii="Times New Roman" w:hAnsi="Times New Roman"/>
                <w:b/>
              </w:rPr>
              <w:t xml:space="preserve"> годы»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1159432,92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1159432,92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работников администрации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3653778,25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3648328,03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ru-RU" w:eastAsia="en-US" w:bidi="ar-SA"/>
              </w:rPr>
              <w:t>99.8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техническое обеспечение деятельности работников администрации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2372548,76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2372548,76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99,4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473840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473840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техническое обеспечение деятельности работников первичного воинского учета на территориях где отсутствуют военные комиссариаты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7659599,93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7572085,11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8</w:t>
            </w:r>
            <w:r>
              <w:rPr>
                <w:rFonts w:ascii="Times New Roman" w:hAnsi="Times New Roman"/>
              </w:rPr>
              <w:t>,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8</w:t>
            </w:r>
          </w:p>
        </w:tc>
      </w:tr>
      <w:tr>
        <w:trPr>
          <w:trHeight w:val="4668" w:hRule="atLeast"/>
        </w:trPr>
        <w:tc>
          <w:tcPr>
            <w:tcW w:w="9471" w:type="dxa"/>
            <w:gridSpan w:val="7"/>
            <w:tcBorders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9638" w:leader="none"/>
              </w:tabs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9638" w:leader="none"/>
              </w:tabs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9638" w:leader="none"/>
              </w:tabs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tabs>
                <w:tab w:val="clear" w:pos="708"/>
                <w:tab w:val="left" w:pos="9638" w:leader="none"/>
              </w:tabs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Вышеуказанные мероприятия направлены на обеспечение своевременного и бесперебойного функционирования администрации сельского поселения Ягодное, для исполнения муниципальных функций в рамках полномочий администрации и повышение комфортности условий жизнедеятельности в поселении.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 в размере  9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8</w:t>
            </w:r>
            <w:r>
              <w:rPr>
                <w:rFonts w:ascii="Times New Roman" w:hAnsi="Times New Roman"/>
              </w:rPr>
              <w:t>,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8</w:t>
            </w:r>
            <w:r>
              <w:rPr>
                <w:rFonts w:ascii="Times New Roman" w:hAnsi="Times New Roman"/>
              </w:rPr>
              <w:t xml:space="preserve"> %  указывает на высокую эффективность исполнения подпрограммы.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2 подпрограмма « 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 на2021-2023 годы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925748,04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894 183,58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ru-RU" w:eastAsia="en-US" w:bidi="ar-SA"/>
              </w:rPr>
              <w:t>96,</w:t>
            </w: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5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 –техническое обеспечение деятельности работников пожарной безопасности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1037278,75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995647,51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95,9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1963026,79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1902793,09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96,9</w:t>
            </w:r>
          </w:p>
        </w:tc>
      </w:tr>
      <w:tr>
        <w:trPr/>
        <w:tc>
          <w:tcPr>
            <w:tcW w:w="9471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Выполнение мероприятий данной подпрограммы позволило укреплению пожарной безопасности , снижению количества пожаров, гибели и травмирования людей при пожарах на территории сельского поселения Ягодное, относительное сокращение материального ущерба от пожаров.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значение рейтинга эффективности  в размере </w:t>
            </w:r>
            <w:r>
              <w:rPr>
                <w:rFonts w:ascii="Times New Roman" w:hAnsi="Times New Roman"/>
                <w:lang w:val="en-US"/>
              </w:rPr>
              <w:t>96,9</w:t>
            </w:r>
            <w:r>
              <w:rPr>
                <w:rFonts w:ascii="Times New Roman" w:hAnsi="Times New Roman"/>
              </w:rPr>
              <w:t>%  указывает на высокую эффективность исполнения подпрограммы.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3 подпрограмма « 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Ставропольский Самарской области  на2021-2023 годы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Материально-техническое содержание ветеринарного врача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</w:tr>
      <w:tr>
        <w:trPr/>
        <w:tc>
          <w:tcPr>
            <w:tcW w:w="9471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 были достигнуты следующие результаты: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улучшение качества предоставления услуг ветеринарных врачей.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значение рейтинга эффективности  в размере 0%  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Четвертая  подпрограмма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на2021-2023 годы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Расходы на содержание дорожного фонда за счет денежных средств ,поступающих по подакцизным товарам (продукции)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6065110,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5584988,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92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1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Расходы на содержание дорожного фонда за счет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денежных средств ,поступающих по подакцизным товарам (продукции) –за счет остатков прошлого года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747730,65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747338,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99</w:t>
            </w:r>
            <w:r>
              <w:rPr>
                <w:rFonts w:ascii="Times New Roman" w:hAnsi="Times New Roman"/>
              </w:rPr>
              <w:t>,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9</w:t>
            </w:r>
          </w:p>
        </w:tc>
      </w:tr>
      <w:tr>
        <w:trPr/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</w:t>
            </w:r>
          </w:p>
        </w:tc>
        <w:tc>
          <w:tcPr>
            <w:tcW w:w="159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24788091,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24788090,84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99,9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4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Предоставление субсидий из областного бюджета местным бюджетам в целях софинансирования расходных обязательств муниципальных образований в Самарской области, направленных на решение вопросов местного значения и связанных мероприятий по поддержке общественных проектов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3999600,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3968604,5</w:t>
            </w:r>
            <w:r>
              <w:rPr>
                <w:rFonts w:ascii="Times New Roman" w:hAnsi="Times New Roman"/>
                <w:lang w:val="en-US"/>
              </w:rPr>
              <w:t>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99,2</w:t>
            </w:r>
          </w:p>
        </w:tc>
      </w:tr>
      <w:tr>
        <w:trPr/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5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Субсидия областного бюджета в целях софинансирования расходных обязательств направленных на решение вопросов местного значения и связанной с реализацией мероприятий по поддержке решений референдума (схода)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</w:t>
            </w:r>
          </w:p>
        </w:tc>
        <w:tc>
          <w:tcPr>
            <w:tcW w:w="159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999900,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994900,5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99,5</w:t>
            </w:r>
          </w:p>
        </w:tc>
      </w:tr>
      <w:tr>
        <w:trPr/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6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Софинансирование предоставленных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</w:t>
            </w:r>
          </w:p>
        </w:tc>
        <w:tc>
          <w:tcPr>
            <w:tcW w:w="159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377483,62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377483,62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100</w:t>
            </w:r>
          </w:p>
        </w:tc>
      </w:tr>
      <w:tr>
        <w:trPr/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7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Софинансирование к субсидии из областного бюджета местным бюджетам в целях софинансирования расходных обязательств муниципальных образований в Самарской области, направленных на решение вопросов местного значения и связанных мероприятий по поддержке общественных проектов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</w:t>
            </w:r>
          </w:p>
        </w:tc>
        <w:tc>
          <w:tcPr>
            <w:tcW w:w="159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2754562,8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2734537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99,2</w:t>
            </w:r>
          </w:p>
        </w:tc>
      </w:tr>
      <w:tr>
        <w:trPr/>
        <w:tc>
          <w:tcPr>
            <w:tcW w:w="7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9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40065778,07</w:t>
            </w:r>
          </w:p>
        </w:tc>
        <w:tc>
          <w:tcPr>
            <w:tcW w:w="1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39527575,96</w:t>
            </w:r>
          </w:p>
        </w:tc>
        <w:tc>
          <w:tcPr>
            <w:tcW w:w="16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98</w:t>
            </w:r>
            <w:r>
              <w:rPr>
                <w:rFonts w:ascii="Times New Roman" w:hAnsi="Times New Roman"/>
                <w:lang w:val="en-US"/>
              </w:rPr>
              <w:t>,6</w:t>
            </w:r>
          </w:p>
        </w:tc>
      </w:tr>
      <w:tr>
        <w:trPr/>
        <w:tc>
          <w:tcPr>
            <w:tcW w:w="9471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улучшение качества дорожной сети.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повышение безопасности дорожного движения.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значение рейтинга эффективности мероприятий подпрограммы составила 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98</w:t>
            </w:r>
            <w:r>
              <w:rPr>
                <w:rFonts w:ascii="Times New Roman" w:hAnsi="Times New Roman"/>
              </w:rPr>
              <w:t>,6 %, что указывает на низкую эффективность данной подпрограммы, это связано с сезонностью работ и длительностью проведения конкурсов на заключение муниципальных контрактов.  Вследствие этого оставшаяся часть денежных средств будет потрачена в 2021 году.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5  подпрограмма «Содержание и обслуживание муниципального имущества сельского поселения Ягодное муниципального района Ставропольский Самарской области на 202</w:t>
            </w:r>
            <w:r>
              <w:rPr>
                <w:rFonts w:eastAsia="Calibri" w:cs="Times New Roman" w:ascii="Times New Roman" w:hAnsi="Times New Roman" w:eastAsiaTheme="minorHAnsi"/>
                <w:b/>
                <w:color w:val="auto"/>
                <w:kern w:val="0"/>
                <w:sz w:val="22"/>
                <w:szCs w:val="22"/>
                <w:lang w:val="en-US" w:eastAsia="en-US" w:bidi="ar-SA"/>
              </w:rPr>
              <w:t>1</w:t>
            </w:r>
            <w:r>
              <w:rPr>
                <w:rFonts w:ascii="Times New Roman" w:hAnsi="Times New Roman"/>
                <w:b/>
              </w:rPr>
              <w:t> - 202</w:t>
            </w:r>
            <w:r>
              <w:rPr>
                <w:rFonts w:eastAsia="Calibri" w:cs="Times New Roman" w:ascii="Times New Roman" w:hAnsi="Times New Roman" w:eastAsiaTheme="minorHAnsi"/>
                <w:b/>
                <w:color w:val="auto"/>
                <w:kern w:val="0"/>
                <w:sz w:val="22"/>
                <w:szCs w:val="22"/>
                <w:lang w:val="en-US" w:eastAsia="en-US" w:bidi="ar-SA"/>
              </w:rPr>
              <w:t>3</w:t>
            </w:r>
            <w:r>
              <w:rPr>
                <w:rFonts w:ascii="Times New Roman" w:hAnsi="Times New Roman"/>
                <w:b/>
              </w:rPr>
              <w:t xml:space="preserve"> годы»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Взнос на капитальный ремонт муниципального имущества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</w:rPr>
              <w:t>120000,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t>120000,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>
        <w:trPr/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120000,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120000,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</w:rPr>
      </w:pPr>
      <w:r>
        <w:rPr>
          <w:rFonts w:ascii="Times New Roman" w:hAnsi="Times New Roman"/>
        </w:rPr>
        <w:t>В ходе реализации данной подпрограммы были решены вопросы сохранности муниципального имущества, повышение уровня качества проживания граждан.</w:t>
      </w:r>
    </w:p>
    <w:tbl>
      <w:tblPr>
        <w:tblW w:w="9330" w:type="dxa"/>
        <w:jc w:val="left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1" w:val="02a0"/>
      </w:tblPr>
      <w:tblGrid>
        <w:gridCol w:w="35"/>
        <w:gridCol w:w="534"/>
        <w:gridCol w:w="2976"/>
        <w:gridCol w:w="993"/>
        <w:gridCol w:w="1589"/>
        <w:gridCol w:w="1549"/>
        <w:gridCol w:w="1623"/>
        <w:gridCol w:w="30"/>
      </w:tblGrid>
      <w:tr>
        <w:trPr>
          <w:trHeight w:val="2415" w:hRule="atLeast"/>
        </w:trPr>
        <w:tc>
          <w:tcPr>
            <w:tcW w:w="35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9294" w:type="dxa"/>
            <w:gridSpan w:val="7"/>
            <w:tcBorders>
              <w:bottom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Численное значение рейтинга эффективности  в размере100%  указывает на высокую эффективность исполнения подпрограммы.</w:t>
            </w:r>
          </w:p>
        </w:tc>
      </w:tr>
      <w:tr>
        <w:trPr/>
        <w:tc>
          <w:tcPr>
            <w:tcW w:w="9299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7  подпрограмма « Благоустройство территории сельского поселения Ягодное  муниципального района Ставропольский Самарской области  на 202</w:t>
            </w:r>
            <w:r>
              <w:rPr>
                <w:rFonts w:eastAsia="Calibri" w:cs="Times New Roman" w:ascii="Times New Roman" w:hAnsi="Times New Roman" w:eastAsiaTheme="minorHAnsi"/>
                <w:b/>
                <w:color w:val="auto"/>
                <w:kern w:val="0"/>
                <w:sz w:val="22"/>
                <w:szCs w:val="22"/>
                <w:lang w:val="en-US" w:eastAsia="en-US" w:bidi="ar-SA"/>
              </w:rPr>
              <w:t>1</w:t>
            </w:r>
            <w:r>
              <w:rPr>
                <w:rFonts w:ascii="Times New Roman" w:hAnsi="Times New Roman"/>
                <w:b/>
              </w:rPr>
              <w:t>-202</w:t>
            </w:r>
            <w:r>
              <w:rPr>
                <w:rFonts w:eastAsia="Calibri" w:cs="Times New Roman" w:ascii="Times New Roman" w:hAnsi="Times New Roman" w:eastAsiaTheme="minorHAnsi"/>
                <w:b/>
                <w:color w:val="auto"/>
                <w:kern w:val="0"/>
                <w:sz w:val="22"/>
                <w:szCs w:val="22"/>
                <w:lang w:val="en-US" w:eastAsia="en-US" w:bidi="ar-SA"/>
              </w:rPr>
              <w:t>3</w:t>
            </w:r>
            <w:r>
              <w:rPr>
                <w:rFonts w:ascii="Times New Roman" w:hAnsi="Times New Roman"/>
                <w:b/>
              </w:rPr>
              <w:t>годы»</w:t>
            </w:r>
          </w:p>
        </w:tc>
        <w:tc>
          <w:tcPr>
            <w:tcW w:w="30" w:type="dxa"/>
            <w:tcBorders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/>
        <w:tc>
          <w:tcPr>
            <w:tcW w:w="3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746234,27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711827,49</w:t>
            </w:r>
          </w:p>
        </w:tc>
        <w:tc>
          <w:tcPr>
            <w:tcW w:w="16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95,4</w:t>
            </w:r>
          </w:p>
        </w:tc>
      </w:tr>
      <w:tr>
        <w:trPr/>
        <w:tc>
          <w:tcPr>
            <w:tcW w:w="3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Техничесуое обслуживание уличных сетей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405888,6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405888,6</w:t>
            </w:r>
          </w:p>
        </w:tc>
        <w:tc>
          <w:tcPr>
            <w:tcW w:w="16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100</w:t>
            </w:r>
          </w:p>
        </w:tc>
      </w:tr>
      <w:tr>
        <w:trPr/>
        <w:tc>
          <w:tcPr>
            <w:tcW w:w="3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3</w:t>
            </w:r>
          </w:p>
        </w:tc>
        <w:tc>
          <w:tcPr>
            <w:tcW w:w="29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Прочие мероприятия по благоустройству территории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3539432,44</w:t>
            </w:r>
          </w:p>
        </w:tc>
        <w:tc>
          <w:tcPr>
            <w:tcW w:w="15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2753175,71</w:t>
            </w:r>
          </w:p>
        </w:tc>
        <w:tc>
          <w:tcPr>
            <w:tcW w:w="165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77,8</w:t>
            </w:r>
          </w:p>
        </w:tc>
      </w:tr>
      <w:tr>
        <w:trPr/>
        <w:tc>
          <w:tcPr>
            <w:tcW w:w="3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  <w:t>4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обеспечение тракториста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1500700,54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1496305,89</w:t>
            </w:r>
          </w:p>
        </w:tc>
        <w:tc>
          <w:tcPr>
            <w:tcW w:w="16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99,7</w:t>
            </w:r>
          </w:p>
        </w:tc>
      </w:tr>
      <w:tr>
        <w:trPr/>
        <w:tc>
          <w:tcPr>
            <w:tcW w:w="35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6192255,85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bookmarkStart w:id="0" w:name="_GoBack"/>
            <w:bookmarkEnd w:id="0"/>
            <w:r>
              <w:rPr>
                <w:rFonts w:ascii="Times New Roman" w:hAnsi="Times New Roman"/>
              </w:rPr>
              <w:t>5367197,69</w:t>
            </w:r>
          </w:p>
        </w:tc>
        <w:tc>
          <w:tcPr>
            <w:tcW w:w="16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86,7</w:t>
            </w:r>
          </w:p>
        </w:tc>
      </w:tr>
    </w:tbl>
    <w:p>
      <w:pPr>
        <w:sectPr>
          <w:type w:val="nextPage"/>
          <w:pgSz w:w="11906" w:h="16838"/>
          <w:pgMar w:left="1701" w:right="850" w:header="0" w:top="568" w:footer="0" w:bottom="1276" w:gutter="0"/>
          <w:pgNumType w:fmt="decimal"/>
          <w:formProt w:val="false"/>
          <w:textDirection w:val="lrTb"/>
          <w:docGrid w:type="default" w:linePitch="360" w:charSpace="4096"/>
        </w:sectPr>
      </w:pPr>
    </w:p>
    <w:tbl>
      <w:tblPr>
        <w:tblW w:w="9295" w:type="dxa"/>
        <w:jc w:val="left"/>
        <w:tblInd w:w="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1" w:val="02a0"/>
      </w:tblPr>
      <w:tblGrid>
        <w:gridCol w:w="534"/>
        <w:gridCol w:w="2975"/>
        <w:gridCol w:w="994"/>
        <w:gridCol w:w="1589"/>
        <w:gridCol w:w="1553"/>
        <w:gridCol w:w="1649"/>
      </w:tblGrid>
      <w:tr>
        <w:trPr/>
        <w:tc>
          <w:tcPr>
            <w:tcW w:w="9294" w:type="dxa"/>
            <w:gridSpan w:val="6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рамках реализации данной подпрограммы были достигнуты следующие результаты: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приведение в качественное состояние элементов благоустройства сельского поселения;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привлечение жителей к участию в решении проблем благоустройства;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Организации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значение рейтинга эффективности  в размере </w:t>
            </w:r>
            <w:r>
              <w:rPr>
                <w:rFonts w:ascii="Times New Roman" w:hAnsi="Times New Roman"/>
                <w:lang w:val="en-US"/>
              </w:rPr>
              <w:t>86,7</w:t>
            </w:r>
            <w:r>
              <w:rPr>
                <w:rFonts w:ascii="Times New Roman" w:hAnsi="Times New Roman"/>
              </w:rPr>
              <w:t>%  указывает на высокую эффективность исполнения подпрограммы.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8 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202</w:t>
            </w:r>
            <w:r>
              <w:rPr>
                <w:rFonts w:eastAsia="Calibri" w:cs="Times New Roman" w:ascii="Times New Roman" w:hAnsi="Times New Roman" w:eastAsiaTheme="minorHAnsi"/>
                <w:b/>
                <w:color w:val="auto"/>
                <w:kern w:val="0"/>
                <w:sz w:val="22"/>
                <w:szCs w:val="22"/>
                <w:lang w:val="en-US" w:eastAsia="en-US" w:bidi="ar-SA"/>
              </w:rPr>
              <w:t>1</w:t>
            </w:r>
            <w:r>
              <w:rPr>
                <w:rFonts w:ascii="Times New Roman" w:hAnsi="Times New Roman"/>
                <w:b/>
              </w:rPr>
              <w:t xml:space="preserve"> – 202</w:t>
            </w:r>
            <w:r>
              <w:rPr>
                <w:rFonts w:eastAsia="Calibri" w:cs="Times New Roman" w:ascii="Times New Roman" w:hAnsi="Times New Roman" w:eastAsiaTheme="minorHAnsi"/>
                <w:b/>
                <w:color w:val="auto"/>
                <w:kern w:val="0"/>
                <w:sz w:val="22"/>
                <w:szCs w:val="22"/>
                <w:lang w:val="en-US" w:eastAsia="en-US" w:bidi="ar-SA"/>
              </w:rPr>
              <w:t>3</w:t>
            </w:r>
            <w:r>
              <w:rPr>
                <w:rFonts w:ascii="Times New Roman" w:hAnsi="Times New Roman"/>
                <w:b/>
              </w:rPr>
              <w:t xml:space="preserve"> годы»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работников социальной политики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572689,77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569435,19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99,4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Материально-техническое содержание работников социальной политики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51590,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43000,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83,3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Материально-техническое обеспечение празднично-досуговых мероприятий в сельском поселении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52682,57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38136,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72,4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6231366,16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6203151,01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99,5</w:t>
            </w:r>
          </w:p>
        </w:tc>
      </w:tr>
      <w:tr>
        <w:trPr/>
        <w:tc>
          <w:tcPr>
            <w:tcW w:w="9294" w:type="dxa"/>
            <w:gridSpan w:val="6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ходе реализации данной подпрограммы были достигнуты следующие результаты: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доступная среда для инвалидов и других маломобильных групп граждан;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увеличение числа жителей, участвующих в культурной жизни села;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улучшение качества жизни граждан, проживающих на территории села посредством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формирования празднично-досуговой культуры.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Численное значение рейтинга эффективности  в размере </w:t>
            </w:r>
            <w:r>
              <w:rPr>
                <w:rFonts w:ascii="Times New Roman" w:hAnsi="Times New Roman"/>
                <w:lang w:val="en-US"/>
              </w:rPr>
              <w:t>99,5</w:t>
            </w:r>
            <w:r>
              <w:rPr>
                <w:rFonts w:ascii="Times New Roman" w:hAnsi="Times New Roman"/>
              </w:rPr>
              <w:t>%  указывает на высокую эффективность исполнения подпрограммы.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 xml:space="preserve">9 подпрограмма </w:t>
            </w:r>
            <w:r>
              <w:rPr>
                <w:rFonts w:ascii="Times New Roman" w:hAnsi="Times New Roman"/>
                <w:b/>
                <w:bCs/>
              </w:rPr>
              <w:t>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</w:t>
            </w:r>
            <w:r>
              <w:rPr>
                <w:rFonts w:eastAsia="Calibri" w:cs="Times New Roman" w:ascii="Times New Roman" w:hAnsi="Times New Roman" w:eastAsiaTheme="minorHAnsi"/>
                <w:b/>
                <w:bCs/>
                <w:color w:val="auto"/>
                <w:kern w:val="0"/>
                <w:sz w:val="22"/>
                <w:szCs w:val="22"/>
                <w:lang w:val="en-US" w:eastAsia="en-US" w:bidi="ar-SA"/>
              </w:rPr>
              <w:t>1</w:t>
            </w:r>
            <w:r>
              <w:rPr>
                <w:rFonts w:ascii="Times New Roman" w:hAnsi="Times New Roman"/>
                <w:b/>
                <w:bCs/>
              </w:rPr>
              <w:t xml:space="preserve"> - 202</w:t>
            </w:r>
            <w:r>
              <w:rPr>
                <w:rFonts w:eastAsia="Calibri" w:cs="Times New Roman" w:ascii="Times New Roman" w:hAnsi="Times New Roman" w:eastAsiaTheme="minorHAnsi"/>
                <w:b/>
                <w:bCs/>
                <w:color w:val="auto"/>
                <w:kern w:val="0"/>
                <w:sz w:val="22"/>
                <w:szCs w:val="22"/>
                <w:lang w:val="en-US" w:eastAsia="en-US" w:bidi="ar-SA"/>
              </w:rPr>
              <w:t>3</w:t>
            </w:r>
            <w:r>
              <w:rPr>
                <w:rFonts w:ascii="Times New Roman" w:hAnsi="Times New Roman"/>
                <w:b/>
                <w:bCs/>
              </w:rPr>
              <w:t xml:space="preserve"> годы»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 инструктора по молодежной политики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238713,99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236806,49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99,2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112081,58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93520,56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83,4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350795,57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330327,05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94,2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- 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- 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- 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Численное значение рейтинга эффективности  в размере </w:t>
      </w:r>
      <w:r>
        <w:rPr>
          <w:rFonts w:ascii="Times New Roman" w:hAnsi="Times New Roman"/>
          <w:lang w:val="en-US"/>
        </w:rPr>
        <w:t>94,2</w:t>
      </w:r>
      <w:r>
        <w:rPr>
          <w:rFonts w:ascii="Times New Roman" w:hAnsi="Times New Roman"/>
        </w:rPr>
        <w:t>%  указывает на высокую эффективность исполнения подпрограммы.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  <w:bCs/>
        </w:rPr>
      </w:pPr>
      <w:r>
        <w:rPr>
          <w:b/>
        </w:rPr>
        <w:t xml:space="preserve">10 «А» подпрограмма  </w:t>
      </w:r>
      <w:r>
        <w:rPr>
          <w:b/>
          <w:bCs/>
        </w:rPr>
        <w:t xml:space="preserve"> "Информационное освещение деятельности сельского поселения Ягодное муниципального района Ставропольский Самарской области на 2020 - 2022 годы"</w:t>
      </w:r>
    </w:p>
    <w:tbl>
      <w:tblPr>
        <w:tblW w:w="9295" w:type="dxa"/>
        <w:jc w:val="left"/>
        <w:tblInd w:w="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1" w:val="02a0"/>
      </w:tblPr>
      <w:tblGrid>
        <w:gridCol w:w="534"/>
        <w:gridCol w:w="2975"/>
        <w:gridCol w:w="994"/>
        <w:gridCol w:w="1589"/>
        <w:gridCol w:w="1553"/>
        <w:gridCol w:w="1649"/>
      </w:tblGrid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Подписка на книги, деловые журналы, профессиональные и периодические издания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155590,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155590,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Выпуск электронной версии газеты «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Ягодинский</w:t>
            </w:r>
            <w:r>
              <w:rPr>
                <w:rFonts w:ascii="Times New Roman" w:hAnsi="Times New Roman"/>
              </w:rPr>
              <w:t xml:space="preserve"> Вестник»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145600,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38200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auto"/>
                <w:kern w:val="0"/>
                <w:sz w:val="22"/>
                <w:szCs w:val="22"/>
                <w:lang w:val="en-US" w:eastAsia="en-US" w:bidi="ar-SA"/>
              </w:rPr>
              <w:t>26,2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официальной информации на официальном сайте сельского поселения Ягодное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eastAsia="Calibri" w:cs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2"/>
                <w:szCs w:val="22"/>
                <w:lang w:val="ru-RU" w:eastAsia="en-US" w:bidi="ar-SA"/>
              </w:rPr>
              <w:t>0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301190,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193790,</w:t>
            </w:r>
            <w:r>
              <w:rPr>
                <w:rFonts w:ascii="Times New Roman" w:hAnsi="Times New Roman"/>
                <w:lang w:val="en-US"/>
              </w:rPr>
              <w:t>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en-US"/>
              </w:rPr>
              <w:t>64,3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>
      <w:pPr>
        <w:pStyle w:val="Normal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-информационная открытость и доступность деятельности Администрации сельского поселения Ягодное;</w:t>
      </w:r>
    </w:p>
    <w:p>
      <w:pPr>
        <w:pStyle w:val="Normal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- постоянная и качественная связь между жителями сельского поселения и органами власти.</w:t>
      </w:r>
    </w:p>
    <w:p>
      <w:pPr>
        <w:pStyle w:val="Normal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Численное значение рейтинга эффективности  в размере </w:t>
      </w:r>
      <w:r>
        <w:rPr>
          <w:rFonts w:ascii="Times New Roman" w:hAnsi="Times New Roman"/>
          <w:bCs/>
          <w:sz w:val="24"/>
          <w:szCs w:val="24"/>
          <w:lang w:val="en-US"/>
        </w:rPr>
        <w:t>64,3</w:t>
      </w:r>
      <w:r>
        <w:rPr>
          <w:rFonts w:ascii="Times New Roman" w:hAnsi="Times New Roman"/>
          <w:bCs/>
          <w:sz w:val="24"/>
          <w:szCs w:val="24"/>
        </w:rPr>
        <w:t>%  указывает на высокую эффективность исполнения подпрограммы.</w:t>
      </w:r>
    </w:p>
    <w:p>
      <w:pPr>
        <w:pStyle w:val="Normal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11 «Б» подпрограмма 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eastAsia="Calibri" w:cs="Times New Roman" w:ascii="Times New Roman" w:hAnsi="Times New Roman" w:eastAsiaTheme="minorHAnsi"/>
          <w:b/>
          <w:bCs/>
          <w:color w:val="auto"/>
          <w:kern w:val="0"/>
          <w:sz w:val="24"/>
          <w:szCs w:val="24"/>
          <w:lang w:val="en-US" w:eastAsia="en-US" w:bidi="ar-SA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 xml:space="preserve"> -202</w:t>
      </w:r>
      <w:r>
        <w:rPr>
          <w:rFonts w:eastAsia="Calibri" w:cs="Times New Roman" w:ascii="Times New Roman" w:hAnsi="Times New Roman" w:eastAsiaTheme="minorHAnsi"/>
          <w:b/>
          <w:bCs/>
          <w:color w:val="auto"/>
          <w:kern w:val="0"/>
          <w:sz w:val="24"/>
          <w:szCs w:val="24"/>
          <w:lang w:val="en-US" w:eastAsia="en-US" w:bidi="ar-SA"/>
        </w:rPr>
        <w:t>3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</w:p>
    <w:tbl>
      <w:tblPr>
        <w:tblW w:w="9295" w:type="dxa"/>
        <w:jc w:val="left"/>
        <w:tblInd w:w="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1" w:val="02a0"/>
      </w:tblPr>
      <w:tblGrid>
        <w:gridCol w:w="534"/>
        <w:gridCol w:w="2975"/>
        <w:gridCol w:w="994"/>
        <w:gridCol w:w="1589"/>
        <w:gridCol w:w="1553"/>
        <w:gridCol w:w="1649"/>
      </w:tblGrid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Услуги телефонной связи,услуги по предоставлению доступа к информационно-коммуникационной сети интернет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261751,94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184165,88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 w:eastAsiaTheme="minorHAnsi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  <w:t>70,4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47410,</w:t>
            </w:r>
            <w:r>
              <w:rPr>
                <w:rFonts w:ascii="Times New Roman" w:hAnsi="Times New Roman"/>
                <w:bCs/>
                <w:lang w:val="en-US"/>
              </w:rPr>
              <w:t>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45610,</w:t>
            </w:r>
            <w:r>
              <w:rPr>
                <w:rFonts w:ascii="Times New Roman" w:hAnsi="Times New Roman"/>
                <w:bCs/>
                <w:lang w:val="en-US"/>
              </w:rPr>
              <w:t>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 w:eastAsiaTheme="minorHAnsi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  <w:t>96,2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Техническая поддержка, сопровождение программного обеспечения и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</w:r>
          </w:p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продление лицензий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120950,</w:t>
            </w:r>
            <w:r>
              <w:rPr>
                <w:rFonts w:ascii="Times New Roman" w:hAnsi="Times New Roman"/>
                <w:bCs/>
                <w:lang w:val="en-US"/>
              </w:rPr>
              <w:t>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46840,</w:t>
            </w:r>
            <w:r>
              <w:rPr>
                <w:rFonts w:ascii="Times New Roman" w:hAnsi="Times New Roman"/>
                <w:bCs/>
                <w:lang w:val="en-US"/>
              </w:rPr>
              <w:t>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 w:eastAsiaTheme="minorHAnsi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  <w:t>38,7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Оргтехника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Руб.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63997,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00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63997,</w:t>
            </w:r>
            <w:r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>00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100</w:t>
            </w:r>
          </w:p>
        </w:tc>
      </w:tr>
      <w:tr>
        <w:trPr/>
        <w:tc>
          <w:tcPr>
            <w:tcW w:w="5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29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Итого:</w:t>
            </w:r>
          </w:p>
        </w:tc>
        <w:tc>
          <w:tcPr>
            <w:tcW w:w="9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5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494108,94</w:t>
            </w:r>
          </w:p>
        </w:tc>
        <w:tc>
          <w:tcPr>
            <w:tcW w:w="15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340612,88</w:t>
            </w:r>
          </w:p>
        </w:tc>
        <w:tc>
          <w:tcPr>
            <w:tcW w:w="16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 w:eastAsiaTheme="minorHAnsi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Cs/>
                <w:color w:val="auto"/>
                <w:kern w:val="0"/>
                <w:sz w:val="24"/>
                <w:szCs w:val="24"/>
                <w:lang w:val="en-US" w:eastAsia="en-US" w:bidi="ar-SA"/>
              </w:rPr>
              <w:t>68,9</w:t>
            </w:r>
          </w:p>
        </w:tc>
      </w:tr>
      <w:tr>
        <w:trPr/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ИТОГО по подпрограммам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61850915,46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b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59 987 154,52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 w:eastAsiaTheme="minorHAnsi"/>
                <w:b/>
                <w:b/>
                <w:bCs/>
                <w:color w:val="auto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bCs/>
                <w:color w:val="auto"/>
                <w:kern w:val="0"/>
                <w:sz w:val="22"/>
                <w:szCs w:val="22"/>
                <w:lang w:val="en-US" w:eastAsia="en-US" w:bidi="ar-SA"/>
              </w:rPr>
              <w:t>96,9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В рамках реализации данной подпрограммы были достигнуты следующие результаты: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-уменьшение скорости реагирования и затрат на документооборот:</w:t>
      </w:r>
    </w:p>
    <w:p>
      <w:pPr>
        <w:pStyle w:val="Normal"/>
        <w:spacing w:lineRule="auto" w:line="240" w:before="0" w:after="120"/>
        <w:rPr>
          <w:rFonts w:ascii="Times New Roman" w:hAnsi="Times New Roman"/>
        </w:rPr>
      </w:pPr>
      <w:r>
        <w:rPr>
          <w:rFonts w:ascii="Times New Roman" w:hAnsi="Times New Roman"/>
        </w:rPr>
        <w:t>- улучшение материально-технической базы ИТ-инфраструктуры</w:t>
      </w:r>
    </w:p>
    <w:p>
      <w:pPr>
        <w:pStyle w:val="Normal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Численное значение рейтинга эффективности  в размере </w:t>
      </w:r>
      <w:r>
        <w:rPr>
          <w:rFonts w:ascii="Times New Roman" w:hAnsi="Times New Roman"/>
          <w:bCs/>
          <w:sz w:val="24"/>
          <w:szCs w:val="24"/>
          <w:lang w:val="en-US"/>
        </w:rPr>
        <w:t>96,</w:t>
      </w:r>
      <w:r>
        <w:rPr>
          <w:rFonts w:eastAsia="Calibri" w:cs="Times New Roman" w:ascii="Times New Roman" w:hAnsi="Times New Roman" w:eastAsiaTheme="minorHAnsi"/>
          <w:bCs/>
          <w:color w:val="auto"/>
          <w:kern w:val="0"/>
          <w:sz w:val="24"/>
          <w:szCs w:val="24"/>
          <w:lang w:val="en-US" w:eastAsia="en-US" w:bidi="ar-SA"/>
        </w:rPr>
        <w:t>9</w:t>
      </w:r>
      <w:r>
        <w:rPr>
          <w:rFonts w:ascii="Times New Roman" w:hAnsi="Times New Roman"/>
          <w:bCs/>
          <w:sz w:val="24"/>
          <w:szCs w:val="24"/>
        </w:rPr>
        <w:t>%  указывает на высокую эффективность исполнения подпрограммы.</w:t>
      </w:r>
    </w:p>
    <w:p>
      <w:pPr>
        <w:pStyle w:val="Normal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Глава сельского поселения Ягодное                       </w:t>
      </w:r>
      <w:r>
        <w:rPr>
          <w:rFonts w:eastAsia="Calibri" w:cs="Times New Roman" w:ascii="Times New Roman" w:hAnsi="Times New Roman" w:eastAsiaTheme="minorHAnsi"/>
          <w:bCs/>
          <w:color w:val="auto"/>
          <w:kern w:val="0"/>
          <w:sz w:val="24"/>
          <w:szCs w:val="24"/>
          <w:lang w:val="ru-RU" w:eastAsia="en-US" w:bidi="ar-SA"/>
        </w:rPr>
        <w:t>А.В.Лапаев</w:t>
      </w:r>
    </w:p>
    <w:p>
      <w:pPr>
        <w:pStyle w:val="Normal"/>
        <w:spacing w:before="0" w:after="200"/>
        <w:rPr>
          <w:b/>
          <w:b/>
        </w:rPr>
      </w:pPr>
      <w:r>
        <w:rPr/>
      </w:r>
    </w:p>
    <w:sectPr>
      <w:type w:val="continuous"/>
      <w:pgSz w:w="11906" w:h="16838"/>
      <w:pgMar w:left="1701" w:right="850" w:header="0" w:top="568" w:footer="0" w:bottom="1276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6ff5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bc52e5"/>
    <w:rPr>
      <w:color w:val="0000FF" w:themeColor="hyperlink"/>
      <w:u w:val="single"/>
    </w:rPr>
  </w:style>
  <w:style w:type="character" w:styleId="Style15" w:customStyle="1">
    <w:name w:val="Текст выноски Знак"/>
    <w:basedOn w:val="DefaultParagraphFont"/>
    <w:link w:val="a4"/>
    <w:uiPriority w:val="99"/>
    <w:semiHidden/>
    <w:qFormat/>
    <w:rsid w:val="00635709"/>
    <w:rPr>
      <w:rFonts w:ascii="Tahoma" w:hAnsi="Tahoma" w:eastAsia="Calibri" w:cs="Tahoma"/>
      <w:sz w:val="16"/>
      <w:szCs w:val="16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Lucida Sans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Lucida Sans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63570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30B9-8EAD-41FB-91ED-2AC8E75CF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Application>LibreOffice/7.0.4.2$Windows_X86_64 LibreOffice_project/dcf040e67528d9187c66b2379df5ea4407429775</Application>
  <AppVersion>15.0000</AppVersion>
  <Pages>7</Pages>
  <Words>1321</Words>
  <Characters>10142</Characters>
  <CharactersWithSpaces>11273</CharactersWithSpaces>
  <Paragraphs>297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2021-02-01T05:28:00Z</dcterms:created>
  <dc:creator>User</dc:creator>
  <dc:description/>
  <dc:language>ru-RU</dc:language>
  <cp:lastModifiedBy/>
  <cp:lastPrinted>2021-02-01T06:46:00Z</cp:lastPrinted>
  <dcterms:modified xsi:type="dcterms:W3CDTF">2022-02-01T19:55:38Z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