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09C607" w14:textId="77777777" w:rsidR="00FF540C" w:rsidRDefault="00FF540C" w:rsidP="002509F7">
      <w:pPr>
        <w:pStyle w:val="pcenter"/>
        <w:spacing w:before="0" w:beforeAutospacing="0" w:after="180" w:afterAutospacing="0" w:line="330" w:lineRule="atLeast"/>
        <w:ind w:left="-567"/>
        <w:jc w:val="center"/>
        <w:textAlignment w:val="baseline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ПОРЯДОК</w:t>
      </w:r>
    </w:p>
    <w:p w14:paraId="0BFEE4B8" w14:textId="77777777" w:rsidR="00FF540C" w:rsidRDefault="00FF540C" w:rsidP="002509F7">
      <w:pPr>
        <w:pStyle w:val="pcenter"/>
        <w:spacing w:before="0" w:beforeAutospacing="0" w:after="180" w:afterAutospacing="0" w:line="330" w:lineRule="atLeast"/>
        <w:ind w:left="-567"/>
        <w:jc w:val="center"/>
        <w:textAlignment w:val="baseline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ИСПОЛЬЗОВАНИЯ ОТКРЫТОГО ОГНЯ И РАЗВЕДЕНИЯ КОСТРОВ НА ЗЕМЛЯХ</w:t>
      </w:r>
    </w:p>
    <w:p w14:paraId="4C992914" w14:textId="77777777" w:rsidR="00FF540C" w:rsidRDefault="00FF540C" w:rsidP="002509F7">
      <w:pPr>
        <w:pStyle w:val="pcenter"/>
        <w:spacing w:before="0" w:beforeAutospacing="0" w:after="180" w:afterAutospacing="0" w:line="330" w:lineRule="atLeast"/>
        <w:ind w:left="-567"/>
        <w:jc w:val="center"/>
        <w:textAlignment w:val="baseline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СЕЛЬСКОХОЗЯЙСТВЕННОГО НАЗНАЧЕНИЯ И ЗЕМЛЯХ ЗАПАСА</w:t>
      </w:r>
    </w:p>
    <w:p w14:paraId="2AC9D3FC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0" w:name="100012"/>
      <w:bookmarkEnd w:id="0"/>
      <w:r>
        <w:rPr>
          <w:rFonts w:ascii="Arial" w:hAnsi="Arial" w:cs="Arial"/>
          <w:color w:val="000000"/>
          <w:sz w:val="23"/>
          <w:szCs w:val="23"/>
        </w:rPr>
        <w:t>1. Настоящий Порядок использования открытого огня и разведения костров на землях сельскохозяйственного назначения и землях запаса (далее - Порядок)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 и землях запаса (далее - использование открытого огня).</w:t>
      </w:r>
    </w:p>
    <w:p w14:paraId="1BD63DB8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1" w:name="100013"/>
      <w:bookmarkEnd w:id="1"/>
      <w:r>
        <w:rPr>
          <w:rFonts w:ascii="Arial" w:hAnsi="Arial" w:cs="Arial"/>
          <w:color w:val="000000"/>
          <w:sz w:val="23"/>
          <w:szCs w:val="23"/>
        </w:rPr>
        <w:t>2. Использование открытого огня должно осуществляться в специально оборудованных местах при выполнении следующих требований:</w:t>
      </w:r>
    </w:p>
    <w:p w14:paraId="050A8727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2" w:name="100014"/>
      <w:bookmarkEnd w:id="2"/>
      <w:r>
        <w:rPr>
          <w:rFonts w:ascii="Arial" w:hAnsi="Arial" w:cs="Arial"/>
          <w:color w:val="000000"/>
          <w:sz w:val="23"/>
          <w:szCs w:val="23"/>
        </w:rPr>
        <w:t>а) 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(например: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 1 куб. метра;</w:t>
      </w:r>
    </w:p>
    <w:p w14:paraId="7FEF8555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3" w:name="100015"/>
      <w:bookmarkEnd w:id="3"/>
      <w:r>
        <w:rPr>
          <w:rFonts w:ascii="Arial" w:hAnsi="Arial" w:cs="Arial"/>
          <w:color w:val="000000"/>
          <w:sz w:val="23"/>
          <w:szCs w:val="23"/>
        </w:rPr>
        <w:t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</w:t>
      </w:r>
    </w:p>
    <w:p w14:paraId="22DB077D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4" w:name="100016"/>
      <w:bookmarkEnd w:id="4"/>
      <w:r>
        <w:rPr>
          <w:rFonts w:ascii="Arial" w:hAnsi="Arial" w:cs="Arial"/>
          <w:color w:val="000000"/>
          <w:sz w:val="23"/>
          <w:szCs w:val="23"/>
        </w:rP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14:paraId="47BB18C2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5" w:name="100017"/>
      <w:bookmarkEnd w:id="5"/>
      <w:r>
        <w:rPr>
          <w:rFonts w:ascii="Arial" w:hAnsi="Arial" w:cs="Arial"/>
          <w:color w:val="000000"/>
          <w:sz w:val="23"/>
          <w:szCs w:val="23"/>
        </w:rPr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14:paraId="6FB195DA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6" w:name="100018"/>
      <w:bookmarkEnd w:id="6"/>
      <w:r>
        <w:rPr>
          <w:rFonts w:ascii="Arial" w:hAnsi="Arial" w:cs="Arial"/>
          <w:color w:val="000000"/>
          <w:sz w:val="23"/>
          <w:szCs w:val="23"/>
        </w:rPr>
        <w:t>3. При использовании открытого огня в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горения, минимально допустимые расстояния, предусмотренные </w:t>
      </w:r>
      <w:hyperlink r:id="rId4" w:anchor="100015" w:history="1">
        <w:r>
          <w:rPr>
            <w:rStyle w:val="a3"/>
            <w:rFonts w:ascii="Arial" w:hAnsi="Arial" w:cs="Arial"/>
            <w:color w:val="005EA5"/>
            <w:sz w:val="23"/>
            <w:szCs w:val="23"/>
            <w:bdr w:val="none" w:sz="0" w:space="0" w:color="auto" w:frame="1"/>
          </w:rPr>
          <w:t>подпунктами "б"</w:t>
        </w:r>
      </w:hyperlink>
      <w:r>
        <w:rPr>
          <w:rFonts w:ascii="Arial" w:hAnsi="Arial" w:cs="Arial"/>
          <w:color w:val="000000"/>
          <w:sz w:val="23"/>
          <w:szCs w:val="23"/>
        </w:rPr>
        <w:t> и </w:t>
      </w:r>
      <w:hyperlink r:id="rId5" w:anchor="100016" w:history="1">
        <w:r>
          <w:rPr>
            <w:rStyle w:val="a3"/>
            <w:rFonts w:ascii="Arial" w:hAnsi="Arial" w:cs="Arial"/>
            <w:color w:val="005EA5"/>
            <w:sz w:val="23"/>
            <w:szCs w:val="23"/>
            <w:bdr w:val="none" w:sz="0" w:space="0" w:color="auto" w:frame="1"/>
          </w:rPr>
          <w:t>"в" пункта 2</w:t>
        </w:r>
      </w:hyperlink>
      <w:r>
        <w:rPr>
          <w:rFonts w:ascii="Arial" w:hAnsi="Arial" w:cs="Arial"/>
          <w:color w:val="000000"/>
          <w:sz w:val="23"/>
          <w:szCs w:val="23"/>
        </w:rPr>
        <w:t> настоящего Порядка, могут быть уменьшены вдвое. При этом устройство противопожарной минерализованной полосы не требуется.</w:t>
      </w:r>
    </w:p>
    <w:p w14:paraId="0ACEC210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7" w:name="100019"/>
      <w:bookmarkEnd w:id="7"/>
      <w:r>
        <w:rPr>
          <w:rFonts w:ascii="Arial" w:hAnsi="Arial" w:cs="Arial"/>
          <w:color w:val="000000"/>
          <w:sz w:val="23"/>
          <w:szCs w:val="23"/>
        </w:rPr>
        <w:t>4. 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14:paraId="38F788A6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8" w:name="100020"/>
      <w:bookmarkEnd w:id="8"/>
      <w:r>
        <w:rPr>
          <w:rFonts w:ascii="Arial" w:hAnsi="Arial" w:cs="Arial"/>
          <w:color w:val="000000"/>
          <w:sz w:val="23"/>
          <w:szCs w:val="23"/>
        </w:rPr>
        <w:t>5. При использовании открытого огня и разведения костров для приготовления пищи в специальных несгораемых емкостях (например: мангалах, жаровнях) на садовых земельных участках, относящихся к землям сельскохозяйственного назначения,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- до 2 метров.</w:t>
      </w:r>
    </w:p>
    <w:p w14:paraId="0B4221EC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9" w:name="100021"/>
      <w:bookmarkEnd w:id="9"/>
      <w:r>
        <w:rPr>
          <w:rFonts w:ascii="Arial" w:hAnsi="Arial" w:cs="Arial"/>
          <w:color w:val="000000"/>
          <w:sz w:val="23"/>
          <w:szCs w:val="23"/>
        </w:rPr>
        <w:lastRenderedPageBreak/>
        <w:t>6. В случаях выполнения работ по уничтожению сухой травянистой растительности, стерни, пожнивных остатков и иных горючих отходов, организации массовых мероприятий с использованием открытого огня допускается увеличивать диаметр очага горения до 3 метров. При этом минимально допустимый радиус зоны очистки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следует определять в соответствии с </w:t>
      </w:r>
      <w:hyperlink r:id="rId6" w:anchor="100039" w:history="1">
        <w:r>
          <w:rPr>
            <w:rStyle w:val="a3"/>
            <w:rFonts w:ascii="Arial" w:hAnsi="Arial" w:cs="Arial"/>
            <w:color w:val="005EA5"/>
            <w:sz w:val="23"/>
            <w:szCs w:val="23"/>
            <w:bdr w:val="none" w:sz="0" w:space="0" w:color="auto" w:frame="1"/>
          </w:rPr>
          <w:t>приложением</w:t>
        </w:r>
      </w:hyperlink>
      <w:r>
        <w:rPr>
          <w:rFonts w:ascii="Arial" w:hAnsi="Arial" w:cs="Arial"/>
          <w:color w:val="000000"/>
          <w:sz w:val="23"/>
          <w:szCs w:val="23"/>
        </w:rPr>
        <w:t> к настоящему Порядку.</w:t>
      </w:r>
    </w:p>
    <w:p w14:paraId="67BE6F40" w14:textId="082A712F" w:rsidR="00FF540C" w:rsidRDefault="00FF540C" w:rsidP="001A38B5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10" w:name="100022"/>
      <w:bookmarkEnd w:id="10"/>
      <w:r>
        <w:rPr>
          <w:rFonts w:ascii="Arial" w:hAnsi="Arial" w:cs="Arial"/>
          <w:color w:val="000000"/>
          <w:sz w:val="23"/>
          <w:szCs w:val="23"/>
        </w:rPr>
        <w:t>7. При увеличении диаметра зоны очага горения должны быть выполнены требования </w:t>
      </w:r>
      <w:hyperlink r:id="rId7" w:anchor="100013" w:history="1">
        <w:r>
          <w:rPr>
            <w:rStyle w:val="a3"/>
            <w:rFonts w:ascii="Arial" w:hAnsi="Arial" w:cs="Arial"/>
            <w:color w:val="005EA5"/>
            <w:sz w:val="23"/>
            <w:szCs w:val="23"/>
            <w:bdr w:val="none" w:sz="0" w:space="0" w:color="auto" w:frame="1"/>
          </w:rPr>
          <w:t>пункта 2</w:t>
        </w:r>
      </w:hyperlink>
      <w:r>
        <w:rPr>
          <w:rFonts w:ascii="Arial" w:hAnsi="Arial" w:cs="Arial"/>
          <w:color w:val="000000"/>
          <w:sz w:val="23"/>
          <w:szCs w:val="23"/>
        </w:rPr>
        <w:t> настоящего Порядка. При этом на каждый очаг использования открытого огня должно быть задействовано не менее 2-х человек, обеспеченных первичными средствами пожаротушения и прошедших обучение мерам пожарной безопасности в соответствии с </w:t>
      </w:r>
      <w:hyperlink r:id="rId8" w:anchor="100009" w:history="1">
        <w:r>
          <w:rPr>
            <w:rStyle w:val="a3"/>
            <w:rFonts w:ascii="Arial" w:hAnsi="Arial" w:cs="Arial"/>
            <w:color w:val="005EA5"/>
            <w:sz w:val="23"/>
            <w:szCs w:val="23"/>
            <w:bdr w:val="none" w:sz="0" w:space="0" w:color="auto" w:frame="1"/>
          </w:rPr>
          <w:t>Нормами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 пожарной безопасности "Обучение мерам пожарной безопасности работников организаций", утвержденными приказом МЧС России от 12.12.2007 N 645 (зарегистрирован Минюстом России 21.01.2008, регистрационный N 10938) </w:t>
      </w:r>
      <w:bookmarkStart w:id="11" w:name="100023"/>
      <w:bookmarkEnd w:id="11"/>
    </w:p>
    <w:p w14:paraId="0FBEDDB8" w14:textId="01BA30C5" w:rsidR="00FF540C" w:rsidRDefault="00FF540C" w:rsidP="001A38B5">
      <w:pPr>
        <w:pStyle w:val="pboth"/>
        <w:spacing w:before="0" w:beforeAutospacing="0" w:after="0" w:afterAutospacing="0" w:line="330" w:lineRule="atLeast"/>
        <w:ind w:left="-567" w:firstLine="425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12" w:name="100024"/>
      <w:bookmarkEnd w:id="12"/>
      <w:r>
        <w:rPr>
          <w:rFonts w:ascii="Arial" w:hAnsi="Arial" w:cs="Arial"/>
          <w:color w:val="000000"/>
          <w:sz w:val="23"/>
          <w:szCs w:val="23"/>
        </w:rPr>
        <w:t>С изменениями, внесенными приказами МЧС России от 27.01.2009 (зарегистрирован Минюстом России 25.02.2009, регистрационный N 13429) и от 22.06.2010 N 289 (зарегистрирован Минюстом России 16.07.2010, регистрационный N 17880).</w:t>
      </w:r>
    </w:p>
    <w:p w14:paraId="284CA2CD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13" w:name="100025"/>
      <w:bookmarkEnd w:id="13"/>
      <w:r>
        <w:rPr>
          <w:rFonts w:ascii="Arial" w:hAnsi="Arial" w:cs="Arial"/>
          <w:color w:val="000000"/>
          <w:sz w:val="23"/>
          <w:szCs w:val="23"/>
        </w:rPr>
        <w:t>8. В течение всего периода использования открытого огня до прекращения процесса тления должен осуществляться контроль за н</w:t>
      </w:r>
      <w:bookmarkStart w:id="14" w:name="_GoBack"/>
      <w:bookmarkEnd w:id="14"/>
      <w:r>
        <w:rPr>
          <w:rFonts w:ascii="Arial" w:hAnsi="Arial" w:cs="Arial"/>
          <w:color w:val="000000"/>
          <w:sz w:val="23"/>
          <w:szCs w:val="23"/>
        </w:rPr>
        <w:t>ераспространением горения (тления) за пределы очаговой зоны.</w:t>
      </w:r>
    </w:p>
    <w:p w14:paraId="1F0E6CD7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15" w:name="100026"/>
      <w:bookmarkEnd w:id="15"/>
      <w:r>
        <w:rPr>
          <w:rFonts w:ascii="Arial" w:hAnsi="Arial" w:cs="Arial"/>
          <w:color w:val="000000"/>
          <w:sz w:val="23"/>
          <w:szCs w:val="23"/>
        </w:rPr>
        <w:t>9. Использование открытого огня запрещается:</w:t>
      </w:r>
    </w:p>
    <w:p w14:paraId="077229D5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16" w:name="100027"/>
      <w:bookmarkEnd w:id="16"/>
      <w:r>
        <w:rPr>
          <w:rFonts w:ascii="Arial" w:hAnsi="Arial" w:cs="Arial"/>
          <w:color w:val="000000"/>
          <w:sz w:val="23"/>
          <w:szCs w:val="23"/>
        </w:rPr>
        <w:t>на торфяных почвах;</w:t>
      </w:r>
    </w:p>
    <w:p w14:paraId="41BB8CEC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17" w:name="100028"/>
      <w:bookmarkEnd w:id="17"/>
      <w:r>
        <w:rPr>
          <w:rFonts w:ascii="Arial" w:hAnsi="Arial" w:cs="Arial"/>
          <w:color w:val="000000"/>
          <w:sz w:val="23"/>
          <w:szCs w:val="23"/>
        </w:rPr>
        <w:t>при установлении на соответствующей территории особого противопожарного режима;</w:t>
      </w:r>
    </w:p>
    <w:p w14:paraId="531A0A95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18" w:name="100029"/>
      <w:bookmarkEnd w:id="18"/>
      <w:r>
        <w:rPr>
          <w:rFonts w:ascii="Arial" w:hAnsi="Arial" w:cs="Arial"/>
          <w:color w:val="000000"/>
          <w:sz w:val="23"/>
          <w:szCs w:val="23"/>
        </w:rPr>
        <w:t>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</w:t>
      </w:r>
    </w:p>
    <w:p w14:paraId="2914CF98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19" w:name="100030"/>
      <w:bookmarkEnd w:id="19"/>
      <w:r>
        <w:rPr>
          <w:rFonts w:ascii="Arial" w:hAnsi="Arial" w:cs="Arial"/>
          <w:color w:val="000000"/>
          <w:sz w:val="23"/>
          <w:szCs w:val="23"/>
        </w:rPr>
        <w:t>под кронами деревьев хвойных пород;</w:t>
      </w:r>
    </w:p>
    <w:p w14:paraId="1E6CCF6A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20" w:name="100031"/>
      <w:bookmarkEnd w:id="20"/>
      <w:r>
        <w:rPr>
          <w:rFonts w:ascii="Arial" w:hAnsi="Arial" w:cs="Arial"/>
          <w:color w:val="000000"/>
          <w:sz w:val="23"/>
          <w:szCs w:val="23"/>
        </w:rPr>
        <w:t>в емкости, стенки которой имеют огненный сквозной прогар;</w:t>
      </w:r>
    </w:p>
    <w:p w14:paraId="4F5DDD23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21" w:name="100032"/>
      <w:bookmarkEnd w:id="21"/>
      <w:r>
        <w:rPr>
          <w:rFonts w:ascii="Arial" w:hAnsi="Arial" w:cs="Arial"/>
          <w:color w:val="000000"/>
          <w:sz w:val="23"/>
          <w:szCs w:val="23"/>
        </w:rPr>
        <w:t>при скорости ветра, превышающей значение 5 метров в секунду, если открытый огонь используется без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горения;</w:t>
      </w:r>
    </w:p>
    <w:p w14:paraId="5EF97A6E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22" w:name="100033"/>
      <w:bookmarkEnd w:id="22"/>
      <w:r>
        <w:rPr>
          <w:rFonts w:ascii="Arial" w:hAnsi="Arial" w:cs="Arial"/>
          <w:color w:val="000000"/>
          <w:sz w:val="23"/>
          <w:szCs w:val="23"/>
        </w:rPr>
        <w:t>при скорости ветра, превышающей значение 10 метров в секунду.</w:t>
      </w:r>
    </w:p>
    <w:p w14:paraId="23DAAB53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23" w:name="100034"/>
      <w:bookmarkEnd w:id="23"/>
      <w:r>
        <w:rPr>
          <w:rFonts w:ascii="Arial" w:hAnsi="Arial" w:cs="Arial"/>
          <w:color w:val="000000"/>
          <w:sz w:val="23"/>
          <w:szCs w:val="23"/>
        </w:rPr>
        <w:t>10. В процессе использования открытого огня запрещается:</w:t>
      </w:r>
    </w:p>
    <w:p w14:paraId="16EB4F12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24" w:name="100035"/>
      <w:bookmarkEnd w:id="24"/>
      <w:r>
        <w:rPr>
          <w:rFonts w:ascii="Arial" w:hAnsi="Arial" w:cs="Arial"/>
          <w:color w:val="000000"/>
          <w:sz w:val="23"/>
          <w:szCs w:val="23"/>
        </w:rPr>
        <w:t>осуществлять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</w:p>
    <w:p w14:paraId="5C4516B1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25" w:name="100036"/>
      <w:bookmarkEnd w:id="25"/>
      <w:r>
        <w:rPr>
          <w:rFonts w:ascii="Arial" w:hAnsi="Arial" w:cs="Arial"/>
          <w:color w:val="000000"/>
          <w:sz w:val="23"/>
          <w:szCs w:val="23"/>
        </w:rPr>
        <w:t>оставлять место очага горения без присмотра до полного прекращения горения (тления);</w:t>
      </w:r>
    </w:p>
    <w:p w14:paraId="61846422" w14:textId="77777777" w:rsidR="00FF540C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26" w:name="100037"/>
      <w:bookmarkEnd w:id="26"/>
      <w:r>
        <w:rPr>
          <w:rFonts w:ascii="Arial" w:hAnsi="Arial" w:cs="Arial"/>
          <w:color w:val="000000"/>
          <w:sz w:val="23"/>
          <w:szCs w:val="23"/>
        </w:rPr>
        <w:t>располагать легковоспламеняющиеся и горючие жидкости, а также горючие материалы вблизи очага горения.</w:t>
      </w:r>
    </w:p>
    <w:p w14:paraId="0EA4A228" w14:textId="7E34061A" w:rsidR="007B2874" w:rsidRPr="002509F7" w:rsidRDefault="00FF540C" w:rsidP="002509F7">
      <w:pPr>
        <w:pStyle w:val="pboth"/>
        <w:spacing w:before="0" w:beforeAutospacing="0" w:after="0" w:afterAutospacing="0" w:line="330" w:lineRule="atLeast"/>
        <w:ind w:left="-567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bookmarkStart w:id="27" w:name="100038"/>
      <w:bookmarkEnd w:id="27"/>
      <w:r>
        <w:rPr>
          <w:rFonts w:ascii="Arial" w:hAnsi="Arial" w:cs="Arial"/>
          <w:color w:val="000000"/>
          <w:sz w:val="23"/>
          <w:szCs w:val="23"/>
        </w:rPr>
        <w:t>11. 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sectPr w:rsidR="007B2874" w:rsidRPr="00250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398"/>
    <w:rsid w:val="001A38B5"/>
    <w:rsid w:val="002509F7"/>
    <w:rsid w:val="003034F4"/>
    <w:rsid w:val="007B2874"/>
    <w:rsid w:val="00894EFA"/>
    <w:rsid w:val="00D73F05"/>
    <w:rsid w:val="00EC2398"/>
    <w:rsid w:val="00FF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00FBF"/>
  <w15:chartTrackingRefBased/>
  <w15:docId w15:val="{44F179E9-772A-4717-8EB3-B7CB6D24A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enter">
    <w:name w:val="pcenter"/>
    <w:basedOn w:val="a"/>
    <w:rsid w:val="00FF5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FF5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F54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alacts.ru/doc/prikaz-mchs-rf-ot-12122007-n-645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legalacts.ru/doc/prikaz-mchs-rossii-ot-26012016-n-26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egalacts.ru/doc/prikaz-mchs-rossii-ot-26012016-n-26/" TargetMode="External"/><Relationship Id="rId5" Type="http://schemas.openxmlformats.org/officeDocument/2006/relationships/hyperlink" Target="http://legalacts.ru/doc/prikaz-mchs-rossii-ot-26012016-n-26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legalacts.ru/doc/prikaz-mchs-rossii-ot-26012016-n-26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2018-09-11T12:14:00Z</cp:lastPrinted>
  <dcterms:created xsi:type="dcterms:W3CDTF">2018-09-10T13:01:00Z</dcterms:created>
  <dcterms:modified xsi:type="dcterms:W3CDTF">2018-09-11T12:15:00Z</dcterms:modified>
</cp:coreProperties>
</file>